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669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 w:line="120" w:lineRule="auto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дом 30),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Моисеева Алексея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ч.5 ст. 12.15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Моисеев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374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а/д </w:t>
      </w:r>
      <w:r>
        <w:rPr>
          <w:rFonts w:ascii="Times New Roman" w:eastAsia="Times New Roman" w:hAnsi="Times New Roman" w:cs="Times New Roman"/>
          <w:sz w:val="28"/>
          <w:szCs w:val="28"/>
        </w:rPr>
        <w:t>Тюмень-Хан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Тюменской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9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0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впереди двигавшегося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полосу, предназначенную для встречного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пересечением линии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</w:t>
      </w:r>
      <w:r>
        <w:rPr>
          <w:rFonts w:ascii="Times New Roman" w:eastAsia="Times New Roman" w:hAnsi="Times New Roman" w:cs="Times New Roman"/>
          <w:sz w:val="28"/>
          <w:szCs w:val="28"/>
        </w:rPr>
        <w:t>овторным, ранее постановлением №</w:t>
      </w:r>
      <w:r>
        <w:rPr>
          <w:rStyle w:val="cat-UserDefinedgrp-3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eastAsia="Times New Roman" w:hAnsi="Times New Roman" w:cs="Times New Roman"/>
          <w:sz w:val="28"/>
          <w:szCs w:val="28"/>
        </w:rPr>
        <w:t>Моисеев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Моисеев А.В.,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Моисеев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в его отсутствие.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исследовав письменные материалы дела, считает,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Моисеева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4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Моисеев А.В., 19.05.2024 в 15:00, на 374 км а/д Тюмень-Хан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Тюменской области, управляя транспортным средством </w:t>
      </w:r>
      <w:r>
        <w:rPr>
          <w:rStyle w:val="cat-CarMakeModelgrp-29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впереди двигавшегося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полосу, предназначенную для встречного движения в зоне действия дорожного знака 3.20 «Обгон запрещен», с пересечением линии дорожной разметки 1.1, чем нарушил п.1.3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1090. Данное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повторно в течении года</w:t>
      </w:r>
      <w:r>
        <w:rPr>
          <w:rFonts w:ascii="Times New Roman" w:eastAsia="Times New Roman" w:hAnsi="Times New Roman" w:cs="Times New Roman"/>
          <w:sz w:val="28"/>
          <w:szCs w:val="28"/>
        </w:rPr>
        <w:t>. В протоколе в графе объяснения лица, в отношении которого возбуждено дело об административном правонарушении указано «Совершил обгон на прерывистой линии разметки. Не согласен с протоколом»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№18810586230913035765 от 13.09.2023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Моисеев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 4 ст.12.15 КоАП РФ и ему назначено наказание в виде штрафа в размере 5 000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административного правонарушения, 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Моисеев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19.05.2024 в 15:00, на 374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Тюмень-Ханты-Мансийск,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управляя транспортным средством </w:t>
      </w:r>
      <w:r>
        <w:rPr>
          <w:rStyle w:val="cat-CarMakeModelgrp-29rplc-4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4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впереди двигавшегося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полосу, предназначенную для встречного движения в зоне действия дорожного знака 3.20 «Обгон запрещен», с пересечением линии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 схемой </w:t>
      </w:r>
      <w:r>
        <w:rPr>
          <w:rFonts w:ascii="Times New Roman" w:eastAsia="Times New Roman" w:hAnsi="Times New Roman" w:cs="Times New Roman"/>
          <w:sz w:val="28"/>
          <w:szCs w:val="28"/>
        </w:rPr>
        <w:t>Моисеев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дислокацией дорожных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на данном участке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374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Тюмень-Ханты-Мансийск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 распространяется действие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 нанесена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инспектора ДПС ОВ ДПС </w:t>
      </w:r>
      <w:r>
        <w:rPr>
          <w:rStyle w:val="cat-ExternalSystemDefinedgrp-37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на службе </w:t>
      </w:r>
      <w:r>
        <w:rPr>
          <w:rFonts w:ascii="Times New Roman" w:eastAsia="Times New Roman" w:hAnsi="Times New Roman" w:cs="Times New Roman"/>
          <w:sz w:val="28"/>
          <w:szCs w:val="28"/>
        </w:rPr>
        <w:t>19.05.2024 совместно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инспектором ДПС ОВ ДПС </w:t>
      </w:r>
      <w:r>
        <w:rPr>
          <w:rStyle w:val="cat-ExternalSystemDefinedgrp-37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исполнении государственной функции по обеспечению безопасности дорожного движения в форменном обмундировании, осуществляли надзор за дорожным движением согласно дислокации постов и маршрутов патрулирования, на патрульном авто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мобиле Лада Веста </w:t>
      </w:r>
      <w:r>
        <w:rPr>
          <w:rStyle w:val="cat-CarNumbergrp-31rplc-5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данном участке дороги на 372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Тюмень-Ханты-Мансийск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правой и левой стороны дороги установлены дорожные знаки: 3.20 «Обгон запрещен», вводящие ограничения для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двигающихся в направлении г. Х</w:t>
      </w:r>
      <w:r>
        <w:rPr>
          <w:rFonts w:ascii="Times New Roman" w:eastAsia="Times New Roman" w:hAnsi="Times New Roman" w:cs="Times New Roman"/>
          <w:sz w:val="28"/>
          <w:szCs w:val="28"/>
        </w:rPr>
        <w:t>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15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обратили внимание на автомобиль </w:t>
      </w:r>
      <w:r>
        <w:rPr>
          <w:rStyle w:val="cat-CarMakeModelgrp-29rplc-6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2rplc-6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двигающийся в направлении г. Х</w:t>
      </w:r>
      <w:r>
        <w:rPr>
          <w:rFonts w:ascii="Times New Roman" w:eastAsia="Times New Roman" w:hAnsi="Times New Roman" w:cs="Times New Roman"/>
          <w:sz w:val="28"/>
          <w:szCs w:val="28"/>
        </w:rPr>
        <w:t>анты</w:t>
      </w:r>
      <w:r>
        <w:rPr>
          <w:rFonts w:ascii="Times New Roman" w:eastAsia="Times New Roman" w:hAnsi="Times New Roman" w:cs="Times New Roman"/>
          <w:sz w:val="28"/>
          <w:szCs w:val="28"/>
        </w:rPr>
        <w:t>-Манси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374 км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при совершении манёвра обгон, выехал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дорожного знака 3.20 «Обгон запрещё</w:t>
      </w:r>
      <w:r>
        <w:rPr>
          <w:rFonts w:ascii="Times New Roman" w:eastAsia="Times New Roman" w:hAnsi="Times New Roman" w:cs="Times New Roman"/>
          <w:sz w:val="28"/>
          <w:szCs w:val="28"/>
        </w:rPr>
        <w:t>н» и пересёк линию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.Маневр обгон был начат и завершён в зоне действия дорожного знака 3.20 «Обгон запрещен» с пересечен</w:t>
      </w:r>
      <w:r>
        <w:rPr>
          <w:rFonts w:ascii="Times New Roman" w:eastAsia="Times New Roman" w:hAnsi="Times New Roman" w:cs="Times New Roman"/>
          <w:sz w:val="28"/>
          <w:szCs w:val="28"/>
        </w:rPr>
        <w:t>ием линии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а\м </w:t>
      </w:r>
      <w:r>
        <w:rPr>
          <w:rStyle w:val="cat-CarMakeModelgrp-29rplc-6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Моисеев А.В. выезд на полосу встречного движения не отрицал, нарушение п. 1.3 ПДД РФ оспаривал. Свое несогласие пояснил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совершил маневр обгон по прерывистой линии дорожной разметки. Однако данные </w:t>
      </w:r>
      <w:r>
        <w:rPr>
          <w:rFonts w:ascii="Times New Roman" w:eastAsia="Times New Roman" w:hAnsi="Times New Roman" w:cs="Times New Roman"/>
          <w:sz w:val="28"/>
          <w:szCs w:val="28"/>
        </w:rPr>
        <w:t>доводы Моисеева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несостоятельны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маневр обгон был совершен в зоне действия дорожного знака 3.20 «Обгон запрещен» с пересечением линии дорожной разметки 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Моисеев А.В. был ознакомлен со схемой места совершения административного правонарушения, со схемой не согласен.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 составлением административного материала по данному факту Моисеев А.В. был ознакомлен со ст.51 Конституции РФ и ст.25.1 КоАП РФ. При проверке по информационным базам выяснилось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данное административное правонарушение было совершено Моисеевым А.В. повторно в течении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подтверждается факт совершения Моисеев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административного правонарушения, при обстоятельствах, указанных в протоколе об административном правонарушении;</w:t>
      </w:r>
    </w:p>
    <w:p>
      <w:pPr>
        <w:spacing w:before="0" w:after="0"/>
        <w:ind w:right="1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административных правонарушений.</w:t>
      </w:r>
    </w:p>
    <w:p>
      <w:pPr>
        <w:tabs>
          <w:tab w:val="left" w:pos="709"/>
        </w:tabs>
        <w:spacing w:before="0" w:after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5 ст. 12.15 Кодекса Российской Федерации об административных правонарушениях административная ответственность наступает за повторное совершение административного правонарушения, предусмотренного ч. 4 настоящей статьи, связанного с выездом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Квалификации по ч. 5 ст. 12.15 Кодекса Российской Федерации об административных правонарушениях подлежат действия лица, которое в течение установленного в ст. 4.6 Кодекса Российской Федерации об административных правонарушениях срока уже было привлечено к административной ответственности за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1 к Правилам дорожного движения РФ, «Дорожные знаки, запрещающие знаки», в зоне действия дорожного знака 3.20 «Обгон запрещен»,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9.1 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N 2 к Правилам дорожного движения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Моисеева А.В., указанные в протоколе об административном правонарушении в графе объяснения лица, в отношении которого возбуждено дело об административном правонарушении о том, что он совершил обгон на прерывистой линии разметки, мировой судья считает несостоятельными, поскольку как следует из </w:t>
      </w:r>
      <w:r>
        <w:rPr>
          <w:rFonts w:ascii="Times New Roman" w:eastAsia="Times New Roman" w:hAnsi="Times New Roman" w:cs="Times New Roman"/>
          <w:sz w:val="28"/>
          <w:szCs w:val="28"/>
        </w:rPr>
        <w:t>рапорта сотрудника ДПС,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схемы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Моисеев А.В., 19.05.2024 в 15:00, на 374 км а/д Тюмень-Ханты-Мансийск,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управляя транспортным средством </w:t>
      </w:r>
      <w:r>
        <w:rPr>
          <w:rStyle w:val="cat-CarMakeModelgrp-29rplc-7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7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 двигавшегося транспортного средства, с выездом на полосу, предназначенную для встречного движения в зоне действия дорожного знака 3.20 «Обгон запрещен», с пересечением линии дорожной разметки 1.1.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редставленная в дело схема места совершения административного правонарушения составлена должностным лицом подробно, позволяет установить место и время ее составления, направление движения транспортных средств, на схеме отражен дорожный знак 3.20 «Обгон запрещен», линия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 Схема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согласуется с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бъективных данных, позволяющих усомниться в достоверности содержащихся в ней сведений, не имеется.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Зафиксированные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согласуются с иными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оснований сомневаться в достоверности сведений, содержавшихся в вышеперечисленных доказательствах, не имеется, следовательно, основания для признания их недопустимыми доказательствами отсутствуют.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Нарушение Моисеев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при совершении обгона требований дорожного знака 3.20, в совокупности с выездом на полосу дороги, предназначенную для встречного движения, которая разделена разметкой 1.1,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Моисеева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 по делу.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Моисеева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5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учитывает обстоятельства дела, характер данного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Моисеева А.В.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 в соответствии со ст. 4.3 Кодекса РФ об административных правонарушениях,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8"/>
          <w:szCs w:val="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ПОСТАНОВИЛ:</w:t>
      </w:r>
    </w:p>
    <w:p>
      <w:pPr>
        <w:widowControl w:val="0"/>
        <w:spacing w:before="0" w:after="0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Моисеева Алексея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</w:t>
      </w:r>
      <w:r>
        <w:rPr>
          <w:rFonts w:ascii="Times New Roman" w:eastAsia="Times New Roman" w:hAnsi="Times New Roman" w:cs="Times New Roman"/>
          <w:sz w:val="28"/>
          <w:szCs w:val="28"/>
        </w:rPr>
        <w:t>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утраты указанных документов заявить об этом в указанный орган в тот же срок.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0015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уклонения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 – Мансийского автономного округа-Югры,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left="1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left="1560"/>
        <w:jc w:val="both"/>
        <w:rPr>
          <w:sz w:val="28"/>
          <w:szCs w:val="28"/>
        </w:rPr>
      </w:pPr>
    </w:p>
    <w:p>
      <w:pPr>
        <w:spacing w:before="0" w:after="0"/>
        <w:ind w:left="15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ExternalSystemDefinedgrp-36rplc-10">
    <w:name w:val="cat-ExternalSystemDefined grp-36 rplc-10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CarMakeModelgrp-29rplc-17">
    <w:name w:val="cat-CarMakeModel grp-29 rplc-17"/>
    <w:basedOn w:val="DefaultParagraphFont"/>
  </w:style>
  <w:style w:type="character" w:customStyle="1" w:styleId="cat-CarNumbergrp-30rplc-18">
    <w:name w:val="cat-CarNumber grp-30 rplc-18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CarMakeModelgrp-29rplc-35">
    <w:name w:val="cat-CarMakeModel grp-29 rplc-35"/>
    <w:basedOn w:val="DefaultParagraphFont"/>
  </w:style>
  <w:style w:type="character" w:customStyle="1" w:styleId="cat-CarNumbergrp-30rplc-36">
    <w:name w:val="cat-CarNumber grp-30 rplc-36"/>
    <w:basedOn w:val="DefaultParagraphFont"/>
  </w:style>
  <w:style w:type="character" w:customStyle="1" w:styleId="cat-CarMakeModelgrp-29rplc-46">
    <w:name w:val="cat-CarMakeModel grp-29 rplc-46"/>
    <w:basedOn w:val="DefaultParagraphFont"/>
  </w:style>
  <w:style w:type="character" w:customStyle="1" w:styleId="cat-CarNumbergrp-30rplc-47">
    <w:name w:val="cat-CarNumber grp-30 rplc-47"/>
    <w:basedOn w:val="DefaultParagraphFont"/>
  </w:style>
  <w:style w:type="character" w:customStyle="1" w:styleId="cat-ExternalSystemDefinedgrp-37rplc-50">
    <w:name w:val="cat-ExternalSystemDefined grp-37 rplc-50"/>
    <w:basedOn w:val="DefaultParagraphFont"/>
  </w:style>
  <w:style w:type="character" w:customStyle="1" w:styleId="cat-ExternalSystemDefinedgrp-37rplc-53">
    <w:name w:val="cat-ExternalSystemDefined grp-37 rplc-53"/>
    <w:basedOn w:val="DefaultParagraphFont"/>
  </w:style>
  <w:style w:type="character" w:customStyle="1" w:styleId="cat-CarNumbergrp-31rplc-56">
    <w:name w:val="cat-CarNumber grp-31 rplc-56"/>
    <w:basedOn w:val="DefaultParagraphFont"/>
  </w:style>
  <w:style w:type="character" w:customStyle="1" w:styleId="cat-CarMakeModelgrp-29rplc-60">
    <w:name w:val="cat-CarMakeModel grp-29 rplc-60"/>
    <w:basedOn w:val="DefaultParagraphFont"/>
  </w:style>
  <w:style w:type="character" w:customStyle="1" w:styleId="cat-CarNumbergrp-32rplc-61">
    <w:name w:val="cat-CarNumber grp-32 rplc-61"/>
    <w:basedOn w:val="DefaultParagraphFont"/>
  </w:style>
  <w:style w:type="character" w:customStyle="1" w:styleId="cat-CarMakeModelgrp-29rplc-63">
    <w:name w:val="cat-CarMakeModel grp-29 rplc-63"/>
    <w:basedOn w:val="DefaultParagraphFont"/>
  </w:style>
  <w:style w:type="character" w:customStyle="1" w:styleId="cat-CarMakeModelgrp-29rplc-75">
    <w:name w:val="cat-CarMakeModel grp-29 rplc-75"/>
    <w:basedOn w:val="DefaultParagraphFont"/>
  </w:style>
  <w:style w:type="character" w:customStyle="1" w:styleId="cat-CarNumbergrp-30rplc-76">
    <w:name w:val="cat-CarNumber grp-30 rplc-76"/>
    <w:basedOn w:val="DefaultParagraphFont"/>
  </w:style>
  <w:style w:type="character" w:customStyle="1" w:styleId="cat-UserDefinedgrp-41rplc-82">
    <w:name w:val="cat-UserDefined grp-41 rplc-82"/>
    <w:basedOn w:val="DefaultParagraphFont"/>
  </w:style>
  <w:style w:type="character" w:customStyle="1" w:styleId="cat-UserDefinedgrp-42rplc-85">
    <w:name w:val="cat-UserDefined grp-42 rplc-8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www.consultant.ru/document/cons_doc_LAW_327611/6765b28f29352ad96367b4bb0565cd7b4edbf745/" TargetMode="Externa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